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723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020"/>
        <w:gridCol w:w="1237"/>
        <w:gridCol w:w="1841"/>
        <w:gridCol w:w="3037"/>
        <w:gridCol w:w="647"/>
      </w:tblGrid>
      <w:tr w:rsidTr="003338A6">
        <w:tblPrEx>
          <w:tblW w:w="10723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036696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036696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3338A6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:rsidR="00466676" w:rsidRPr="008B5294" w:rsidP="00D31FFC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Pr="008B5294">
              <w:rPr>
                <w:rFonts w:ascii="Arial" w:hAnsi="Arial" w:cs="B Nazanin" w:hint="cs"/>
                <w:rtl/>
              </w:rPr>
              <w:t>پ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زشکی          </w:t>
            </w:r>
            <w:r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Pr="008B5294" w:rsidR="00257BA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پزشکی اجتماعی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نام مدرسین: </w:t>
            </w:r>
            <w:r w:rsidRPr="008B5294">
              <w:rPr>
                <w:rFonts w:ascii="Arial" w:hAnsi="Arial" w:cs="B Nazanin" w:hint="cs"/>
                <w:rtl/>
              </w:rPr>
              <w:t>مهدی مجدم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>مدیریت</w:t>
            </w:r>
            <w:r w:rsidR="00DD6A24">
              <w:rPr>
                <w:rFonts w:ascii="Arial" w:hAnsi="Arial" w:cs="B Nazanin" w:hint="cs"/>
                <w:rtl/>
                <w:lang w:bidi="fa-IR"/>
              </w:rPr>
              <w:t xml:space="preserve"> سلامت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در حوادث و بلایا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Pr="008B5294" w:rsidR="00FE7914">
              <w:rPr>
                <w:rFonts w:ascii="Arial" w:hAnsi="Arial" w:cs="B Nazanin" w:hint="cs"/>
                <w:rtl/>
              </w:rPr>
              <w:t>2</w:t>
            </w:r>
            <w:r w:rsidRPr="008B5294">
              <w:rPr>
                <w:rFonts w:ascii="Arial" w:hAnsi="Arial" w:cs="B Nazanin" w:hint="cs"/>
                <w:rtl/>
              </w:rPr>
              <w:t xml:space="preserve"> واحد               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Pr="00D31FFC" w:rsidR="00D31FFC">
              <w:rPr>
                <w:rFonts w:ascii="Arial" w:hAnsi="Arial" w:cs="B Nazanin" w:hint="cs"/>
                <w:rtl/>
                <w:lang w:bidi="fa-IR"/>
              </w:rPr>
              <w:t>یکشنبه و</w:t>
            </w:r>
            <w:r w:rsidR="00D31FFC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Pr="008B5294" w:rsidR="00257BAD">
              <w:rPr>
                <w:rFonts w:ascii="Arial" w:hAnsi="Arial" w:cs="B Nazanin" w:hint="cs"/>
                <w:rtl/>
              </w:rPr>
              <w:t>دوشنبه</w:t>
            </w:r>
            <w:r w:rsidRPr="008B5294">
              <w:rPr>
                <w:rFonts w:ascii="Arial" w:hAnsi="Arial" w:cs="B Nazanin" w:hint="cs"/>
                <w:rtl/>
              </w:rPr>
              <w:t xml:space="preserve"> ساعت 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2-4     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Pr="008B5294" w:rsidR="00257BAD">
              <w:rPr>
                <w:rFonts w:ascii="Arial" w:hAnsi="Arial" w:cs="B Nazanin" w:hint="cs"/>
                <w:rtl/>
              </w:rPr>
              <w:t>دکترای حرفه ای</w:t>
            </w:r>
            <w:r w:rsidRPr="008B5294">
              <w:rPr>
                <w:rFonts w:ascii="Arial" w:hAnsi="Arial" w:cs="B Nazanin" w:hint="cs"/>
                <w:rtl/>
              </w:rPr>
              <w:t xml:space="preserve"> پزشکی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</w:tr>
      <w:tr w:rsidTr="003338A6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:rsidR="00636219" w:rsidRPr="008B5294" w:rsidP="00636219">
            <w:pPr>
              <w:pStyle w:val="NormalWeb"/>
              <w:bidi/>
              <w:ind w:left="0" w:righ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5294" w:rsidR="00C9463E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Pr="008B5294" w:rsidR="00EC02F1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8B5294" w:rsidR="00EC02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Pr="008B5294" w:rsidR="00292A2D">
              <w:rPr>
                <w:rFonts w:ascii="Arial" w:hAnsi="Arial" w:cs="B Nazanin" w:hint="cs"/>
                <w:rtl/>
              </w:rPr>
              <w:t>هدف از اجرای این</w:t>
            </w:r>
            <w:r w:rsidRPr="008B5294" w:rsidR="00292A2D">
              <w:rPr>
                <w:rFonts w:ascii="Arial" w:hAnsi="Arial" w:cs="B Nazanin"/>
                <w:rtl/>
              </w:rPr>
              <w:t xml:space="preserve"> برنامه آموزش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تب</w:t>
            </w:r>
            <w:r w:rsidRPr="008B5294" w:rsidR="00292A2D">
              <w:rPr>
                <w:rFonts w:ascii="Arial" w:hAnsi="Arial" w:cs="B Nazanin" w:hint="cs"/>
                <w:rtl/>
              </w:rPr>
              <w:t>یی</w:t>
            </w:r>
            <w:r w:rsidRPr="008B5294" w:rsidR="00292A2D">
              <w:rPr>
                <w:rFonts w:ascii="Arial" w:hAnsi="Arial" w:cs="B Nazanin" w:hint="eastAsia"/>
                <w:rtl/>
              </w:rPr>
              <w:t>ن</w:t>
            </w:r>
            <w:r w:rsidRPr="008B5294" w:rsidR="00292A2D">
              <w:rPr>
                <w:rFonts w:ascii="Arial" w:hAnsi="Arial" w:cs="B Nazanin"/>
                <w:rtl/>
              </w:rPr>
              <w:t xml:space="preserve"> مراحل چهارگانه کاهش آس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ب،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Pr="008B5294" w:rsidR="00292A2D">
              <w:rPr>
                <w:rFonts w:ascii="Arial" w:hAnsi="Arial" w:cs="B Nazanin" w:hint="eastAsia"/>
                <w:rtl/>
              </w:rPr>
              <w:t>آمادگ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پاسخ و باز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در 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حوادث و </w:t>
            </w:r>
            <w:r w:rsidRPr="008B5294" w:rsidR="00292A2D">
              <w:rPr>
                <w:rFonts w:ascii="Arial" w:hAnsi="Arial" w:cs="B Nazanin"/>
                <w:rtl/>
              </w:rPr>
              <w:t>بلا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</w:t>
            </w:r>
            <w:r w:rsidRPr="008B5294" w:rsidR="00292A2D">
              <w:rPr>
                <w:rFonts w:ascii="Arial" w:hAnsi="Arial" w:cs="B Nazanin"/>
                <w:rtl/>
              </w:rPr>
              <w:t xml:space="preserve"> ( اعم از طب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انسان ساخت و 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ولوژ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ک</w:t>
            </w:r>
            <w:r w:rsidRPr="008B5294" w:rsidR="00292A2D">
              <w:rPr>
                <w:rFonts w:ascii="Arial" w:hAnsi="Arial" w:cs="B Nazanin"/>
                <w:rtl/>
              </w:rPr>
              <w:t>)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 در حوزه بهداشت و درمان</w:t>
            </w:r>
            <w:r w:rsidRPr="008B5294" w:rsidR="00292A2D">
              <w:rPr>
                <w:rFonts w:ascii="Arial" w:hAnsi="Arial" w:cs="B Nazanin"/>
                <w:rtl/>
              </w:rPr>
              <w:t>، با هدف حفظ و ارتقاء سلامت جسم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روان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و اجتماع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و مد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ر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ت</w:t>
            </w:r>
            <w:r w:rsidRPr="008B5294" w:rsidR="00292A2D">
              <w:rPr>
                <w:rFonts w:ascii="Arial" w:hAnsi="Arial" w:cs="B Nazanin"/>
                <w:rtl/>
              </w:rPr>
              <w:t xml:space="preserve"> آن در سطوح مختلف 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پردازد.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66676" w:rsidRPr="00D31FFC" w:rsidP="00D31FFC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16072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A51599">
              <w:rPr>
                <w:rFonts w:cs="B Nazanin" w:hint="cs"/>
                <w:rtl/>
              </w:rPr>
              <w:t>28</w:t>
            </w:r>
            <w:r w:rsidRPr="008B5294">
              <w:rPr>
                <w:rFonts w:cs="B Nazanin" w:hint="cs"/>
                <w:rtl/>
              </w:rPr>
              <w:t>/</w:t>
            </w:r>
            <w:r w:rsidR="00A51599"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 w:rsidR="003362F2"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مبانی و مقدمات مدیریت سلامت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3362F2" w:rsidRPr="008B5294" w:rsidP="003362F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3362F2" w:rsidRPr="008B5294" w:rsidP="003362F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362F2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A51599">
              <w:rPr>
                <w:rFonts w:cs="B Nazanin" w:hint="cs"/>
                <w:rtl/>
              </w:rPr>
              <w:t>5</w:t>
            </w:r>
            <w:r w:rsidRPr="008B5294">
              <w:rPr>
                <w:rFonts w:cs="B Nazanin" w:hint="cs"/>
                <w:rtl/>
              </w:rPr>
              <w:t>/</w:t>
            </w:r>
            <w:r w:rsidR="00A51599"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3362F2" w:rsidRPr="008B5294" w:rsidP="003362F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3362F2" w:rsidRPr="00516072" w:rsidP="003362F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shd w:val="clear" w:color="auto" w:fill="auto"/>
            <w:noWrap/>
          </w:tcPr>
          <w:p w:rsidR="003362F2" w:rsidRPr="008B5294" w:rsidP="003362F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مفاهیم و اصلاحات حوادث و بلایا</w:t>
            </w:r>
          </w:p>
          <w:p w:rsidR="003362F2" w:rsidRPr="008B5294" w:rsidP="003362F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اپیدمیولوژی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3362F2" w:rsidRPr="008B5294" w:rsidP="003362F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RPr="00516072" w:rsidP="00A5159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نظام خدمات سلامت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RPr="00516072" w:rsidP="00A5159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مخاطرات طبیعی و انسان ساخت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RPr="00516072" w:rsidP="00A5159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هماهنگی و کنترل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3362F2" w:rsidRPr="008B5294" w:rsidP="003362F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3362F2" w:rsidRPr="008B5294" w:rsidP="003362F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362F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3362F2" w:rsidRPr="008B5294" w:rsidP="003362F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3362F2" w:rsidRPr="00516072" w:rsidP="003362F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shd w:val="clear" w:color="auto" w:fill="auto"/>
            <w:noWrap/>
          </w:tcPr>
          <w:p w:rsidR="003362F2" w:rsidRPr="008B5294" w:rsidP="003362F2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فرماندهی در حوادث و بلایا (سامانه فرماندهی حوادث)</w:t>
            </w:r>
          </w:p>
        </w:tc>
        <w:tc>
          <w:tcPr>
            <w:tcW w:w="647" w:type="dxa"/>
            <w:shd w:val="clear" w:color="auto" w:fill="auto"/>
            <w:noWrap/>
          </w:tcPr>
          <w:p w:rsidR="003362F2" w:rsidRPr="008B5294" w:rsidP="003362F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3362F2" w:rsidRPr="008B5294" w:rsidP="003362F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3362F2" w:rsidRPr="008B5294" w:rsidP="003362F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3362F2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A51599">
              <w:rPr>
                <w:rFonts w:cs="B Nazanin" w:hint="cs"/>
                <w:rtl/>
              </w:rPr>
              <w:t>17</w:t>
            </w:r>
            <w:r w:rsidRPr="008B5294">
              <w:rPr>
                <w:rFonts w:cs="B Nazanin" w:hint="cs"/>
                <w:rtl/>
              </w:rPr>
              <w:t>/</w:t>
            </w:r>
            <w:r w:rsidR="00A51599"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 w:rsidR="00A51599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3362F2" w:rsidRPr="008B5294" w:rsidP="003362F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3362F2" w:rsidRPr="00516072" w:rsidP="003362F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shd w:val="clear" w:color="auto" w:fill="auto"/>
            <w:noWrap/>
          </w:tcPr>
          <w:p w:rsidR="003362F2" w:rsidRPr="008B5294" w:rsidP="003362F2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8B5294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نقش بیمارستان، مدیریت بیمارستانی و پیش بیمارستانی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3362F2" w:rsidRPr="008B5294" w:rsidP="003362F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8B5294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مدیریت تیم های پاسخ پزشکی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8B5294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مدیریت مردم محور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خدمات سلامت در تجمعات انبوه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مدیریت تغذیه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مدیریت بهداشت محیط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مدیریت بیماری ها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واکنش و علایم شایع افراد آسیب دیده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طراحی و ارزشیابی تمرین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35255C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پایش حوادث و بلایا(مدیریت فناوری اطلاعات و </w:t>
            </w:r>
            <w:r w:rsidRPr="008B5294">
              <w:rPr>
                <w:rFonts w:cs="B Nazanin"/>
                <w:lang w:bidi="fa-IR"/>
              </w:rPr>
              <w:t>GIS</w:t>
            </w:r>
            <w:r w:rsidRPr="008B5294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DA7B38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51599" w:rsidRPr="008B5294" w:rsidP="00A5159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A51599" w:rsidRPr="008B5294" w:rsidP="00A5159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:rsidR="00A51599" w:rsidP="00A5159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مبانی پدافند غیر عامل</w:t>
            </w:r>
          </w:p>
        </w:tc>
        <w:tc>
          <w:tcPr>
            <w:tcW w:w="647" w:type="dxa"/>
            <w:shd w:val="clear" w:color="auto" w:fill="auto"/>
            <w:noWrap/>
          </w:tcPr>
          <w:p w:rsidR="00A51599" w:rsidRPr="008B5294" w:rsidP="00A5159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3338A6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3338A6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15 نمره 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(آزمون به صورت تستی و چهارگزینه ای می باشد)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حضور فعال در کلاس، انجام تکلیف ها 5 نمره</w:t>
            </w:r>
          </w:p>
        </w:tc>
      </w:tr>
      <w:tr w:rsidTr="003338A6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cs="B Nazanin"/>
                <w:sz w:val="22"/>
                <w:szCs w:val="22"/>
                <w:rtl/>
              </w:rPr>
              <w:t>کتاب اصول و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مبانی مدیریت بحران، تألیف کتایون جهانگیری، انتشارات جهاد دانشگاهی</w:t>
            </w:r>
          </w:p>
          <w:p w:rsidR="00CF2921" w:rsidRPr="008B5294" w:rsidP="009C2331">
            <w:pPr>
              <w:spacing w:before="100" w:beforeAutospacing="1" w:after="100" w:afterAutospacing="1"/>
              <w:ind w:left="0" w:right="0"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cs="B Nazanin"/>
                <w:sz w:val="22"/>
                <w:szCs w:val="22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:rsidR="00CF2921" w:rsidRPr="008B5294" w:rsidP="009C2331">
            <w:pPr>
              <w:spacing w:before="100" w:beforeAutospacing="1" w:after="100" w:afterAutospacing="1"/>
              <w:ind w:left="0" w:right="0"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cs="B Nazanin"/>
                <w:sz w:val="22"/>
                <w:szCs w:val="22"/>
                <w:rtl/>
              </w:rPr>
              <w:t>کتاب درسنامه سلامت در حوادث و بلایا،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CF2921" w:rsidRPr="008B5294" w:rsidP="009C2331">
            <w:pPr>
              <w:spacing w:before="100" w:beforeAutospacing="1" w:after="100" w:afterAutospacing="1"/>
              <w:ind w:left="0" w:right="0"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cs="B Nazanin"/>
                <w:sz w:val="22"/>
                <w:szCs w:val="22"/>
                <w:rtl/>
              </w:rPr>
              <w:t>کتاب آمادگی بیمارستانی در حوادث و بلایا برنامه‌ی کشوری،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حمیدرضا خانکه و همکاران،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دانشگاه علوم بهزیستی و توانبخشی</w:t>
            </w:r>
          </w:p>
          <w:p w:rsidR="00CF2921" w:rsidRPr="008B5294" w:rsidP="009C2331">
            <w:pPr>
              <w:spacing w:before="100" w:beforeAutospacing="1" w:after="100" w:afterAutospacing="1"/>
              <w:ind w:left="0" w:right="0"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بهداشت عمومی در حوادث و بلایا، </w:t>
            </w:r>
            <w:r w:rsidRPr="008B5294">
              <w:rPr>
                <w:rFonts w:cs="B Nazanin"/>
                <w:sz w:val="22"/>
                <w:szCs w:val="22"/>
                <w:rtl/>
              </w:rPr>
              <w:t xml:space="preserve">تألیف 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>مهدی مجدم، بابک شیراوند، انتشارات علوم و فنون پزشکی اهواز</w:t>
            </w:r>
          </w:p>
          <w:p w:rsidR="00CF2921" w:rsidRPr="008B5294" w:rsidP="009C2331">
            <w:pPr>
              <w:spacing w:before="100" w:beforeAutospacing="1" w:after="100" w:afterAutospacing="1"/>
              <w:ind w:left="0" w:right="0"/>
              <w:jc w:val="both"/>
              <w:rPr>
                <w:rFonts w:cs="B Nazanin" w:hint="cs"/>
                <w:rtl/>
              </w:rPr>
            </w:pPr>
            <w:r w:rsidRPr="008B5294">
              <w:rPr>
                <w:rFonts w:cs="B Nazanin"/>
                <w:sz w:val="22"/>
                <w:szCs w:val="22"/>
                <w:rtl/>
              </w:rPr>
              <w:t>حمایت های روانی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8B5294">
              <w:rPr>
                <w:rFonts w:cs="B Nazanin"/>
                <w:sz w:val="22"/>
                <w:szCs w:val="22"/>
                <w:rtl/>
              </w:rPr>
              <w:t>اجتماعی در بلایا و حوادث غیرمترقبه: متن آموزشی متخصصین بهداشت روان (روان پزشکان و روان شناسان بالینی)،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جواد محمودی قرائی، معصومه امین اسماعیلی، شهرزاد علیزادگان، محمدتقی یاسمی، ستاره محسنی فر، شاهرخ سردارپور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گودرزی، مهدی بینا، آرش میراب زاده، جمال شمس،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انصار</w:t>
            </w:r>
          </w:p>
        </w:tc>
      </w:tr>
      <w:tr w:rsidTr="002038FE">
        <w:tblPrEx>
          <w:tblW w:w="10723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1841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84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Pr="008B5294">
              <w:rPr>
                <w:rFonts w:ascii="Arial" w:hAnsi="Arial" w:cs="B Nazanin" w:hint="cs"/>
                <w:rtl/>
                <w:lang w:bidi="fa-IR"/>
              </w:rPr>
              <w:t>مهدی مجدم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3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36696"/>
    <w:rsid w:val="00092725"/>
    <w:rsid w:val="00094C0D"/>
    <w:rsid w:val="000A2ADE"/>
    <w:rsid w:val="000C18E3"/>
    <w:rsid w:val="00117870"/>
    <w:rsid w:val="001358B0"/>
    <w:rsid w:val="00136ADB"/>
    <w:rsid w:val="001901BE"/>
    <w:rsid w:val="001B6807"/>
    <w:rsid w:val="001D3342"/>
    <w:rsid w:val="002028C2"/>
    <w:rsid w:val="002038FE"/>
    <w:rsid w:val="00222F66"/>
    <w:rsid w:val="00231806"/>
    <w:rsid w:val="00237B54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338A6"/>
    <w:rsid w:val="003362F2"/>
    <w:rsid w:val="00346599"/>
    <w:rsid w:val="0035255C"/>
    <w:rsid w:val="0035373F"/>
    <w:rsid w:val="00356A50"/>
    <w:rsid w:val="003614E4"/>
    <w:rsid w:val="003811A3"/>
    <w:rsid w:val="00383894"/>
    <w:rsid w:val="00392C4C"/>
    <w:rsid w:val="003B3E42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516072"/>
    <w:rsid w:val="005474CA"/>
    <w:rsid w:val="0055047F"/>
    <w:rsid w:val="00582F67"/>
    <w:rsid w:val="0059173D"/>
    <w:rsid w:val="0059421A"/>
    <w:rsid w:val="00594531"/>
    <w:rsid w:val="005C435C"/>
    <w:rsid w:val="005E09E4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E55F3"/>
    <w:rsid w:val="007F352D"/>
    <w:rsid w:val="008109BF"/>
    <w:rsid w:val="0081391D"/>
    <w:rsid w:val="00820F93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D1493"/>
    <w:rsid w:val="008E0AED"/>
    <w:rsid w:val="00906B41"/>
    <w:rsid w:val="00956D9C"/>
    <w:rsid w:val="0097127D"/>
    <w:rsid w:val="009732FA"/>
    <w:rsid w:val="0099134E"/>
    <w:rsid w:val="009B7E53"/>
    <w:rsid w:val="009C2331"/>
    <w:rsid w:val="009C3D1A"/>
    <w:rsid w:val="009E16A1"/>
    <w:rsid w:val="00A43580"/>
    <w:rsid w:val="00A51599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5E44"/>
    <w:rsid w:val="00C83548"/>
    <w:rsid w:val="00C9463E"/>
    <w:rsid w:val="00CA395F"/>
    <w:rsid w:val="00CB3E1D"/>
    <w:rsid w:val="00CF2921"/>
    <w:rsid w:val="00D01518"/>
    <w:rsid w:val="00D31FFC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37DF9"/>
    <w:rsid w:val="00E5318B"/>
    <w:rsid w:val="00EC02F1"/>
    <w:rsid w:val="00EC1A5B"/>
    <w:rsid w:val="00EF78FD"/>
    <w:rsid w:val="00F07A5C"/>
    <w:rsid w:val="00F8368F"/>
    <w:rsid w:val="00FA35F8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738B-7B09-4114-A2BC-4E1E2B25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مهدی مجدم</cp:lastModifiedBy>
  <cp:revision>117</cp:revision>
  <cp:lastPrinted>2017-06-18T12:47:00Z</cp:lastPrinted>
  <dcterms:created xsi:type="dcterms:W3CDTF">2019-09-20T22:16:00Z</dcterms:created>
  <dcterms:modified xsi:type="dcterms:W3CDTF">2025-02-15T04:51:00Z</dcterms:modified>
</cp:coreProperties>
</file>